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EDF3" w14:textId="2D90C292" w:rsidR="00944FBC" w:rsidRPr="000D5459" w:rsidRDefault="003D2169" w:rsidP="003D2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  <w:t>Vaatimukset</w:t>
      </w:r>
    </w:p>
    <w:p w14:paraId="05E87428" w14:textId="77777777" w:rsidR="003D2169" w:rsidRDefault="003D2169" w:rsidP="003D2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Oikeushammaslääketieteen erityispätevyys koostuu kuudesta osasta, jotka ovat (1) kurssimuotoinen koulutus, (2) tutkielma, (3) oikeuslääketieteelliset ruumiinavaukset, (4) tyyppivainajatunnistukset, (5) oikeuslääketieteelliset iän arvioinnit ja (6) kirjallinen kuulustelu.</w:t>
      </w:r>
    </w:p>
    <w:p w14:paraId="00F45CCE" w14:textId="77777777" w:rsidR="00944FBC" w:rsidRPr="000D5459" w:rsidRDefault="00944FBC" w:rsidP="003D2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1BCD2EF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1. Kurssimuotoinen koulutus</w:t>
      </w:r>
    </w:p>
    <w:p w14:paraId="03F501B4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Oikeuslääketieteen peruskurssi</w:t>
      </w:r>
    </w:p>
    <w:p w14:paraId="694F18ED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Onnettomuustutkinta</w:t>
      </w:r>
    </w:p>
    <w:p w14:paraId="1A7C2154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Vainajan tunnistaminen</w:t>
      </w:r>
    </w:p>
    <w:p w14:paraId="27175634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Oikeuslääketieteellinen iän arviointi</w:t>
      </w:r>
    </w:p>
    <w:p w14:paraId="4552D5B1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Juridiikka</w:t>
      </w:r>
    </w:p>
    <w:p w14:paraId="15DCC81C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Antropologia/osteologia</w:t>
      </w:r>
    </w:p>
    <w:p w14:paraId="51F5A7B9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Traumatologia</w:t>
      </w:r>
    </w:p>
    <w:p w14:paraId="58303DF8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Puremajäljet (tai kirjallisuuskatsaus)</w:t>
      </w:r>
    </w:p>
    <w:p w14:paraId="4DC64429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Kurssimuotoisen koulutuksen laajuus on 14,5 opintopistettä siten, että jokaisen yksittäisen kurssin laajuus on vähintään 0,5 opintopistettä.</w:t>
      </w:r>
    </w:p>
    <w:p w14:paraId="3C10C3DE" w14:textId="77777777" w:rsidR="00944FBC" w:rsidRPr="000D5459" w:rsidRDefault="00944FBC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A31B668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2. Tutkielma</w:t>
      </w:r>
    </w:p>
    <w:p w14:paraId="702F81A1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Ks. Tutkielmaa koskevat ohjeet</w:t>
      </w:r>
    </w:p>
    <w:p w14:paraId="650409DF" w14:textId="77777777" w:rsidR="00944FBC" w:rsidRPr="000D5459" w:rsidRDefault="00944FBC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698CF320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3. Oikeuslääketieteelliset ruumiinavaukset</w:t>
      </w:r>
    </w:p>
    <w:p w14:paraId="5F57F35B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Oikeuslääketieteellisiä ruumiinavausseurantoja on oltava vähintään kymmenen (10). Toteutetaan yhteistyössä THL:n oikeuslääkintäyksikön toimipisteiden ja oikeuslääkärien kanssa.</w:t>
      </w:r>
    </w:p>
    <w:p w14:paraId="4C1FD701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1. Mädäntynyt vainaja. Pehmytkudoksia lukuun ottamatta pään alueelta fyysisesti vahingoittumaton.</w:t>
      </w:r>
    </w:p>
    <w:p w14:paraId="7C881F3F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2. Vainajalla pään alueen vammoja.</w:t>
      </w:r>
    </w:p>
    <w:p w14:paraId="0D23A495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3. Palanut vainaja</w:t>
      </w:r>
    </w:p>
    <w:p w14:paraId="2B6DA2CD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4. Luuranko. Tunnistamisessa riittää kallo tai leuka.</w:t>
      </w:r>
    </w:p>
    <w:p w14:paraId="280B4E91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5. Tuore vainaja</w:t>
      </w:r>
    </w:p>
    <w:p w14:paraId="39BA2E80" w14:textId="77777777" w:rsidR="00E7723F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17DF0DA" w14:textId="77777777" w:rsidR="00E7723F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463B50D" w14:textId="77777777" w:rsidR="00E7723F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7B8F40AA" w14:textId="77777777" w:rsidR="00E7723F" w:rsidRPr="000D5459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4D1DE13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Oikeushammaslääketieteen yhdistys pyrkii toteuttamaan kurssimuotoista koulutusta seuraavasti: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595"/>
        <w:gridCol w:w="2361"/>
        <w:gridCol w:w="595"/>
        <w:gridCol w:w="72"/>
      </w:tblGrid>
      <w:tr w:rsidR="003D2169" w:rsidRPr="000D5459" w14:paraId="739C78A9" w14:textId="77777777" w:rsidTr="00075667">
        <w:trPr>
          <w:gridAfter w:val="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7119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KURSSISUUNNITELMA 2022-2025</w:t>
            </w:r>
          </w:p>
        </w:tc>
      </w:tr>
      <w:tr w:rsidR="003D2169" w:rsidRPr="000D5459" w14:paraId="56FB6525" w14:textId="77777777" w:rsidTr="00075667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EE85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KEVÄT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4395B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vuosi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95E7C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SYKSY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A696E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vuosi</w:t>
            </w:r>
          </w:p>
        </w:tc>
      </w:tr>
      <w:tr w:rsidR="003D2169" w:rsidRPr="000D5459" w14:paraId="5B4288B3" w14:textId="77777777" w:rsidTr="000756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42186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Oikeuslääketieteen peruskurssi</w:t>
            </w: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br/>
              <w:t>(vain uusille pätevöityjille)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6C66D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3F02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E97F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</w:tr>
      <w:tr w:rsidR="003D2169" w:rsidRPr="000D5459" w14:paraId="6E2E854C" w14:textId="77777777" w:rsidTr="000756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31385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9CA7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66325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Traumatologia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67049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2022</w:t>
            </w:r>
          </w:p>
        </w:tc>
      </w:tr>
      <w:tr w:rsidR="003D2169" w:rsidRPr="000D5459" w14:paraId="5118F484" w14:textId="77777777" w:rsidTr="000756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9A37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Oikeuslääketieteellinen</w:t>
            </w: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br/>
              <w:t>iänarviointi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EF26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3D00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C0BAF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</w:tr>
      <w:tr w:rsidR="003D2169" w:rsidRPr="000D5459" w14:paraId="71C47156" w14:textId="77777777" w:rsidTr="000756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951C8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339B9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66C5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Vainajan tunnistaminen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55116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2023</w:t>
            </w:r>
          </w:p>
        </w:tc>
      </w:tr>
      <w:tr w:rsidR="003D2169" w:rsidRPr="000D5459" w14:paraId="06B58CF7" w14:textId="77777777" w:rsidTr="000756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E0DD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Onnettomuustutkinta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B320F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56FE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3DB1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</w:tr>
      <w:tr w:rsidR="003D2169" w:rsidRPr="000D5459" w14:paraId="2AF9AF90" w14:textId="77777777" w:rsidTr="000756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9527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E691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D03A5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Juridiikka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A8E9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2024</w:t>
            </w:r>
          </w:p>
        </w:tc>
      </w:tr>
      <w:tr w:rsidR="003D2169" w:rsidRPr="000D5459" w14:paraId="4B7F04BC" w14:textId="77777777" w:rsidTr="000756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0F4A3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Antropologia ja osteologia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FC70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2BC1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56780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D54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071EA" w14:textId="77777777" w:rsidR="003D2169" w:rsidRPr="000D5459" w:rsidRDefault="003D2169" w:rsidP="00075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62E57B42" w14:textId="41B0A25C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Näistä ilmoitetaan kohdassa Erityispätevyyteen soveltuvia kursseja: tulevia kursseja kotimaassa ja Suomen oikeu</w:t>
      </w:r>
      <w:r w:rsid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hammaslääketieteen yhdistyksen jäsenille ilmoitetaan sähköpostitse.</w:t>
      </w:r>
    </w:p>
    <w:p w14:paraId="18B68073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</w:p>
    <w:p w14:paraId="2C6A7DB7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4. Tyyppivainajatunnistukset</w:t>
      </w:r>
    </w:p>
    <w:p w14:paraId="0C65A954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Tyyppivainajatunnistuksia on oltava vähintään kymmenen (10).  Pätevöityjien kannattaa ottaa asiassa yhteyttä THL:n oikeushammaslääkäreihin Mari Metsäniittyyn (</w:t>
      </w:r>
      <w:hyperlink r:id="rId5" w:history="1">
        <w:r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mari.metsaniitty@thl.fi</w:t>
        </w:r>
      </w:hyperlink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) tai Jaana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Hurnaseen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(</w:t>
      </w:r>
      <w:hyperlink r:id="rId6" w:history="1">
        <w:r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jaana.hurnanen@thl.fi</w:t>
        </w:r>
      </w:hyperlink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).</w:t>
      </w:r>
    </w:p>
    <w:p w14:paraId="3EC6E177" w14:textId="77777777" w:rsidR="00E7723F" w:rsidRPr="000D5459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331DB8CF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5. Oikeuslääketieteellinen iän arviointi</w:t>
      </w:r>
    </w:p>
    <w:p w14:paraId="1647A702" w14:textId="7C46D026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Vaaditut viisi (5) ikäarvioharjoitusta voi jatkossa suorittaa arkistomateriaalia hyödyntäen. Käytännön tutkimukseen osallistumisen velvoitetta ei ole. Yhteyshenkilö</w:t>
      </w:r>
      <w:r w:rsidR="003A48B5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</w:t>
      </w:r>
      <w:r w:rsidR="006526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Mari Metsäniitty</w:t>
      </w:r>
      <w:r w:rsidR="003A48B5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(</w:t>
      </w:r>
      <w:hyperlink r:id="rId7" w:history="1">
        <w:r w:rsidR="003A48B5"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mari.metsaniitty@thl.fi</w:t>
        </w:r>
      </w:hyperlink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 tai Jaana Hurna</w:t>
      </w:r>
      <w:r w:rsidR="003A48B5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nen </w:t>
      </w:r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(</w:t>
      </w:r>
      <w:hyperlink r:id="rId8" w:history="1">
        <w:r w:rsidR="003A48B5"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jaana.hurnanen@thl.fi</w:t>
        </w:r>
      </w:hyperlink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).</w:t>
      </w:r>
    </w:p>
    <w:p w14:paraId="7E45194C" w14:textId="77777777" w:rsidR="00E7723F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89FD7A7" w14:textId="77777777" w:rsidR="00944FBC" w:rsidRDefault="00944FBC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701800A" w14:textId="77777777" w:rsidR="00944FBC" w:rsidRPr="000D5459" w:rsidRDefault="00944FBC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5DEA7FB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lastRenderedPageBreak/>
        <w:t>6. Kirjallinen kuulustelu</w:t>
      </w:r>
    </w:p>
    <w:p w14:paraId="59DF211F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Erityispätevyystoimikunta päättää kirjallisen kuulustelun järjestämisestä ilmoittautumisten perusteella (liitolla kaksi erityispätevyyskuulustelupäivää vuodessa) ja sopii kuulustelun laatijat ja tarkastajat. </w:t>
      </w:r>
    </w:p>
    <w:p w14:paraId="60069367" w14:textId="77777777" w:rsidR="003D2169" w:rsidRPr="000D5459" w:rsidRDefault="003D2169" w:rsidP="003D2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Mahdollisuus kuulusteluun osallistumiseen järjestetään kahdesti vuodessa.</w:t>
      </w:r>
    </w:p>
    <w:p w14:paraId="7751BAE5" w14:textId="77777777" w:rsidR="003D2169" w:rsidRPr="000D5459" w:rsidRDefault="003D2169" w:rsidP="003D2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Kirjalliseen kuulusteluun ei voi ilman painavaa perustetta osallistua ennen kuin kurssimuotoinen koulutus on suoritettu. Tutkielma ja käytännön harjoitukset (kohta 3,4 ja 5) voidaan suorittaa loppuun vuoden kuluessa läpäistystä kirjallisesta kuulustelusta. </w:t>
      </w:r>
    </w:p>
    <w:p w14:paraId="157BD349" w14:textId="77777777" w:rsidR="003D2169" w:rsidRPr="000D5459" w:rsidRDefault="003D2169" w:rsidP="003D2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Kuulustelussa on kuusi kysymystä, joista viiteen vastataan. Maksimipistemäärä on 30, ja kuulustelun läpäisemiseksi on saatava vähintään puolet maksimipistemäärästä. Lisäksi mikään vastauksista ei saa olla kummankaan tentaattorin kokonaan hylkäämä.</w:t>
      </w:r>
    </w:p>
    <w:p w14:paraId="4A65672B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Kuulusteluvaatimukset </w:t>
      </w:r>
    </w:p>
    <w:p w14:paraId="2F33B9AF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Vaadittavat kirjat:​</w:t>
      </w:r>
    </w:p>
    <w:p w14:paraId="6E6738FA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Antti Penttilä; Kimmo Aho: Oikeuslääketiede. Kustannus oy Duodecim. Kieli: Suomi. Sivumäärä: 444. Julkaisuvuosi: 2000. Painos loppu (2 kpl lainattavissa)</w:t>
      </w:r>
    </w:p>
    <w:p w14:paraId="0901B6D3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David R.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Senn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Richard A.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Weems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Manual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Odontology, 5th Edition, CRC Press;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Published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January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22, 2013 ;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Reference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- 461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Pages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- 281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Color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Illustrations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; ISBN 9781439851333 - CAT# K12349, the American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Society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Odontology (ASFO)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TAI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Textbook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odonto-stomatology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by IOFOS.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Editor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Hrvoje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Brkić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Co-editors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Rüdiger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Lessig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Ricardo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Henrique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Alves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da Silva, Vilma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Pinchi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Patrick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Thevissen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Publisher: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Naklada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Slap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2021. ISBN 9531919402</w:t>
      </w:r>
    </w:p>
    <w:p w14:paraId="21CF74A0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Interpol, DVI Guide, </w:t>
      </w:r>
      <w:hyperlink r:id="rId9" w:history="1">
        <w:r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https://www.interpol.int/How-we-work/Forensics/Disaster-Victim-Identification-DVI</w:t>
        </w:r>
      </w:hyperlink>
    </w:p>
    <w:p w14:paraId="2EB9EBE7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Bass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WM. Human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Osteology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A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Laboratory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Field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Manual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4. painos, Missouri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Archaelogical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Society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Inc. 1987. (327 s.) </w:t>
      </w:r>
      <w:r w:rsidRPr="000D54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TAI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 Tim D. White, Human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Osteology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sidottu, 2011, ISBN 9780123741349</w:t>
      </w:r>
    </w:p>
    <w:p w14:paraId="2D9BC53A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Hillson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S. Dental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Anthropology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Cambridge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University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Press 1996. (373 s.)</w:t>
      </w:r>
    </w:p>
    <w:p w14:paraId="4BEA0069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European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Asylum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Support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Office, EASO, Euroopan turvapaikka-asioiden tukivirasto.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Practical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guide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assessment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Second edition. </w:t>
      </w:r>
      <w:hyperlink r:id="rId10" w:history="1">
        <w:r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https://www.easo.europa.eu/sites/default/files/easo-practical-guide-on-a...</w:t>
        </w:r>
      </w:hyperlink>
    </w:p>
    <w:p w14:paraId="6B1E9AC7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Vaadittavat artikkelit:</w:t>
      </w:r>
    </w:p>
    <w:p w14:paraId="1024ADF2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AlQahtani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 J. Atlas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Tooth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Development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Eruption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Queen Mary,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University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London 2009.</w:t>
      </w:r>
    </w:p>
    <w:p w14:paraId="6A31D4E2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Demirjian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A.,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Goldstein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H., Tanner J.M., A New System of Dental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Assessment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Human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Biology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1973, Vol.45, No. 2, pp.211-227 </w:t>
      </w:r>
    </w:p>
    <w:p w14:paraId="14C0D63E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Kvaal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S.I.,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Kolltveit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K.M.,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Thomsen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I.O.,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Solheim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T.,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estimation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adults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from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dental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radiographs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Science International 74 (1995) 175-185</w:t>
      </w:r>
    </w:p>
    <w:p w14:paraId="44E7D0D4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Metsäniitty M, Varkkola O,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Waltimo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-Sirén J, Ranta H.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assessment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asylum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seekers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 Legal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2017, 131:243-250.</w:t>
      </w:r>
    </w:p>
    <w:p w14:paraId="0C4339B9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>Mincer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H.H., Harris E.F.,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Berryman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H.E., The A.B.F.O.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Study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Third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Molar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Development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Its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Use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as 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Estimator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Chronological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Age. Journal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Sciences, JFSCA, Vol. 38, No. 2,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March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1993, pp. 379-390</w:t>
      </w:r>
    </w:p>
    <w:p w14:paraId="0A0A267B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Schmeling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Dettmeyer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R, Rudolf E,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Vieth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V,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Geserick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G.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Estimation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Methods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Certainty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and the Law.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Dtsch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Arztebl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2016; 113: 44-50; DOI: 10.3238/arztebl.2016.0044 (Free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article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</w:t>
      </w:r>
    </w:p>
    <w:p w14:paraId="4272FFF8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Tisé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Mazzarini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L,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Fabrizzi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G et al.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Applicability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Greulich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Pyle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method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for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assessment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 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practice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Italian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sample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 Legal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2011, 125:411-416</w:t>
      </w:r>
    </w:p>
    <w:p w14:paraId="50D2AB47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Willems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G, Van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Olmen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Spiessens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B,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Carels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C. Dental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Estimation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Belgian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Children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Demirjian´s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Technicque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Revisited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Journal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Sciences 2001;46 (4):893-895</w:t>
      </w:r>
    </w:p>
    <w:p w14:paraId="3D01A8FF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Thodberg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HH,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Kreiborg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Juul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Pedersen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KD. The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BoneXpert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Method for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Automated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Determination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Skeletal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Maturity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 xml:space="preserve">IEEE Trans </w:t>
      </w:r>
      <w:proofErr w:type="spellStart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Imaging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2009, 28(1):52-66</w:t>
      </w:r>
    </w:p>
    <w:p w14:paraId="03BD0F30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Thodberg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HH, van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Rijn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RR, Jenni OG, Martin DD.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Automated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determination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bone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from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hand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X-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rays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at the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end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puberty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its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applicability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for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estimation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proofErr w:type="spellStart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 xml:space="preserve"> J Legal </w:t>
      </w:r>
      <w:proofErr w:type="spellStart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2017 131:771-780</w:t>
      </w:r>
    </w:p>
    <w:p w14:paraId="06FC6208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Willems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G, Lee SS,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Uys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Bernitz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Cadenas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de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Llano-Pérula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Fieuws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Thevissen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P.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estimation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based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Willems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method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versus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new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country-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specific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method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South African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black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children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 Legal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2018, 132:599-607.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doi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: 10.1007/s00414-017-1686-3</w:t>
      </w:r>
    </w:p>
    <w:p w14:paraId="1B498C39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Metsäniitty M.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Age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Assessment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Finland, and Dental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Development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Somalis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2019, Helsinki: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University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Helsinki. PhD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Thesis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 Pp. 11–54.</w:t>
      </w:r>
    </w:p>
    <w:p w14:paraId="6FC08804" w14:textId="77777777" w:rsidR="00471118" w:rsidRDefault="00471118"/>
    <w:p w14:paraId="0DA0EA01" w14:textId="77777777" w:rsidR="003D216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Hyväksytyt tutkielmat</w:t>
      </w:r>
    </w:p>
    <w:p w14:paraId="21981601" w14:textId="62890443" w:rsidR="003D2169" w:rsidRDefault="003D2169" w:rsidP="003D2169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Tuominen,H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.: </w:t>
      </w: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Kasvojen alueen kudosten hajoamismuutokset ajan kuluessa ja niihin vaikuttavat tekijät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2024</w:t>
      </w:r>
    </w:p>
    <w:p w14:paraId="5BE34881" w14:textId="5D1579F4" w:rsidR="003D2169" w:rsidRPr="003D2169" w:rsidRDefault="003D2169" w:rsidP="003D2169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Koskinen, S.: </w:t>
      </w: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Jäljet kasvossa ja suussa ovat vain osa tarinaa…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2024</w:t>
      </w:r>
    </w:p>
    <w:p w14:paraId="0EFEF658" w14:textId="40E1B633" w:rsidR="003D2169" w:rsidRDefault="003D2169" w:rsidP="003D2169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Lithovius, R.: Iän arviointi kaulanikamien kehitysvaiheiden avulla, 2024</w:t>
      </w:r>
    </w:p>
    <w:p w14:paraId="0210F187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Kuusisto, N.: </w:t>
      </w: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Mikrotietokonetomografian käyttö oikeushammaslääketieteessä – kirjallisuustaustaa ja </w:t>
      </w:r>
      <w:proofErr w:type="spellStart"/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neonataalilinjan</w:t>
      </w:r>
      <w:proofErr w:type="spellEnd"/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pilottitutkimus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</w:t>
      </w:r>
      <w:r w:rsid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2023</w:t>
      </w:r>
    </w:p>
    <w:p w14:paraId="552258D1" w14:textId="77777777" w:rsidR="00E7723F" w:rsidRDefault="00E7723F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Kaukonen, A.: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Superimposition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-tekniikka vainajan tunnistamisessa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2023</w:t>
      </w:r>
    </w:p>
    <w:p w14:paraId="0561E97D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Pyysalo, M.: Kuolemanjälkeisen tietokonetomografian käyttö oikeushammaslääketieteellisessä vainajan tunnistamisessa, 2021</w:t>
      </w:r>
    </w:p>
    <w:p w14:paraId="3806A43E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Toivonen, H.-M.: Lento-onnettomuuksien kuolonuhrien tunnistaminen hampaiston avulla, 2021</w:t>
      </w:r>
    </w:p>
    <w:p w14:paraId="25811CF2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Tuormala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Sanna: Luurangon sukupuolen määritys hammaskiilteestä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nanoLC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MS/MS -menetelmällä, 2020</w:t>
      </w:r>
    </w:p>
    <w:p w14:paraId="2D5A61F4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Aho, Lasse. Vainajien tunnistamismenetelmät ja niiden soveltaminen, 2020</w:t>
      </w:r>
    </w:p>
    <w:p w14:paraId="157FA220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Saarimaa, H.-M.: Dental age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estimation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Finnish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children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sub-adults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combining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permanent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teeth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third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molar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development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2020</w:t>
      </w:r>
    </w:p>
    <w:p w14:paraId="5BC1A5E4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Pettilä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Juha. Suomalaisten sotavainajien oikeushammaslääketieteellinen tunnistaminen, 2019</w:t>
      </w:r>
    </w:p>
    <w:p w14:paraId="74F0D799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Ylijoki-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Sørensen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S. Oikeushammaslääketieteellisen hampaistotunnistamisen toimivuus, 2017</w:t>
      </w:r>
    </w:p>
    <w:p w14:paraId="26553D52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Mörönen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M. Kurusta Estoniaan – turmia ja tunnistuksia Suomessa ennen oikeushammaslääketieteen erityispätevyyskoulutusta, 2014</w:t>
      </w:r>
    </w:p>
    <w:p w14:paraId="702CB55C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>Visnapuu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V.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Katyn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Tuskulen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massacres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during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and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after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the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second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world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war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– some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medicolegal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aspects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 2011</w:t>
      </w:r>
    </w:p>
    <w:p w14:paraId="0B66C1BB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Anttila A. Pohjoissuomalaisten lasten hampaistoiän arviointi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Demirjian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-menetelmällä, 2010</w:t>
      </w:r>
    </w:p>
    <w:p w14:paraId="628E2944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Patinen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P. Uhrintunnistus kansainvälisissä kriisinhallinta operaatioissa, 2010</w:t>
      </w:r>
    </w:p>
    <w:p w14:paraId="427CE367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Laaksonen L. Aikuisten iän arviointi historiallisessa materiaalissa, 2010</w:t>
      </w:r>
    </w:p>
    <w:p w14:paraId="5FB9C617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Hurnanen J. Sukupuolen, iän ja etnisen alkuperän arvioiminen kallosta, 2010</w:t>
      </w:r>
    </w:p>
    <w:p w14:paraId="711598EB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Haapakoski AL. Hampaiden tunnistaminen tunnuspiirteiden ja kuvien pohjalta, 2009</w:t>
      </w:r>
    </w:p>
    <w:p w14:paraId="20108D7F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Männikkö M. Palovainajat ja hammasmateriaalit, 2005</w:t>
      </w:r>
    </w:p>
    <w:p w14:paraId="7B06B896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Räsänen I. Irtoproteesien tunnistusmerkinnät, 2003</w:t>
      </w:r>
    </w:p>
    <w:p w14:paraId="4772363B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Haukka A. Kuolinajan määrittäminen kärpästen ja muiden hyönteisten avulla, 2003</w:t>
      </w:r>
    </w:p>
    <w:p w14:paraId="65E5E6DA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Mäkinen K. Ultraviolettivalokuvaus oikeushammaslääketieteessä, 2002</w:t>
      </w:r>
    </w:p>
    <w:p w14:paraId="77F3AC02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Metsäniitty M. Puremajälkien tutkimus ja DNA-tutkimus, 2002</w:t>
      </w:r>
    </w:p>
    <w:p w14:paraId="53D362A9" w14:textId="1C440154" w:rsidR="003D2169" w:rsidRP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Varkkola O. Onnettomuustutkinta, 2002</w:t>
      </w:r>
    </w:p>
    <w:p w14:paraId="6F7CC5BB" w14:textId="77777777" w:rsidR="003D2169" w:rsidRDefault="003D2169" w:rsidP="003D2169"/>
    <w:p w14:paraId="676AF75F" w14:textId="77777777" w:rsidR="003D2169" w:rsidRDefault="003D2169"/>
    <w:sectPr w:rsidR="003D21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0153"/>
    <w:multiLevelType w:val="multilevel"/>
    <w:tmpl w:val="0228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C5DD1"/>
    <w:multiLevelType w:val="multilevel"/>
    <w:tmpl w:val="CD1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822A3"/>
    <w:multiLevelType w:val="multilevel"/>
    <w:tmpl w:val="E0A4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96117"/>
    <w:multiLevelType w:val="multilevel"/>
    <w:tmpl w:val="F05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A6CF1"/>
    <w:multiLevelType w:val="hybridMultilevel"/>
    <w:tmpl w:val="6F78DC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93DEE"/>
    <w:multiLevelType w:val="multilevel"/>
    <w:tmpl w:val="069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835703">
    <w:abstractNumId w:val="5"/>
  </w:num>
  <w:num w:numId="2" w16cid:durableId="1702321475">
    <w:abstractNumId w:val="1"/>
  </w:num>
  <w:num w:numId="3" w16cid:durableId="536698600">
    <w:abstractNumId w:val="3"/>
  </w:num>
  <w:num w:numId="4" w16cid:durableId="1130631882">
    <w:abstractNumId w:val="2"/>
  </w:num>
  <w:num w:numId="5" w16cid:durableId="864173317">
    <w:abstractNumId w:val="0"/>
  </w:num>
  <w:num w:numId="6" w16cid:durableId="502822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69"/>
    <w:rsid w:val="003A48B5"/>
    <w:rsid w:val="003D2169"/>
    <w:rsid w:val="00471118"/>
    <w:rsid w:val="0065267C"/>
    <w:rsid w:val="00944FBC"/>
    <w:rsid w:val="009D578F"/>
    <w:rsid w:val="00E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E0A9"/>
  <w15:chartTrackingRefBased/>
  <w15:docId w15:val="{49CAEC74-28FF-4E16-932A-E9A36510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2169"/>
  </w:style>
  <w:style w:type="paragraph" w:styleId="Otsikko1">
    <w:name w:val="heading 1"/>
    <w:basedOn w:val="Normaali"/>
    <w:next w:val="Normaali"/>
    <w:link w:val="Otsikko1Char"/>
    <w:uiPriority w:val="9"/>
    <w:qFormat/>
    <w:rsid w:val="003D2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D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D2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D2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D2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D2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D2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D2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D2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D2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D2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D2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D216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D216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D216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D216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D216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D216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D2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D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D2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D2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D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D216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D216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D216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D2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D216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D2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a.hurnanen@thl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.metsaniitty@thl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na.hurnanen@thl.f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i.metsaniitty@thl.fi" TargetMode="External"/><Relationship Id="rId10" Type="http://schemas.openxmlformats.org/officeDocument/2006/relationships/hyperlink" Target="https://www.easo.europa.eu/sites/default/files/easo-practical-guide-on-age-assesment-v3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pol.int/How-we-work/Forensics/Disaster-Victim-Identification-DV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985</Words>
  <Characters>7985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Chainier</dc:creator>
  <cp:keywords/>
  <dc:description/>
  <cp:lastModifiedBy>Anna Chainier</cp:lastModifiedBy>
  <cp:revision>4</cp:revision>
  <dcterms:created xsi:type="dcterms:W3CDTF">2024-12-18T11:44:00Z</dcterms:created>
  <dcterms:modified xsi:type="dcterms:W3CDTF">2024-12-18T12:09:00Z</dcterms:modified>
</cp:coreProperties>
</file>